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竞赛章程（试行）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（经第十</w:t>
      </w:r>
      <w:r>
        <w:rPr>
          <w:rFonts w:hint="eastAsia" w:ascii="楷体_GB2312" w:hAnsi="楷体_GB2312" w:eastAsia="楷体_GB2312" w:cs="楷体_GB2312"/>
          <w:b w:val="0"/>
          <w:bCs w:val="0"/>
          <w:sz w:val="32"/>
          <w:szCs w:val="32"/>
          <w:lang w:val="en-US" w:eastAsia="zh-CN"/>
        </w:rPr>
        <w:t>七</w:t>
      </w:r>
      <w:r>
        <w:rPr>
          <w:rFonts w:hint="eastAsia" w:ascii="楷体_GB2312" w:hAnsi="楷体_GB2312" w:eastAsia="楷体_GB2312" w:cs="楷体_GB2312"/>
          <w:b w:val="0"/>
          <w:bCs w:val="0"/>
          <w:sz w:val="32"/>
          <w:szCs w:val="32"/>
        </w:rPr>
        <w:t>届“挑战杯”竞赛组委会第一次全体会议通过）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“挑战杯”全国大学生课外学术科技作品竞赛是由 共青团中央、中国科协、教育部、中国社会科学院、全国学联、 省级人民政府主办的大学生课外学术科技活动中一项具有导向 性、示范性和群众性的竞赛活动，每两年举办一届。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竞赛的宗旨：崇尚科学、追求真知、勤奋学习、锐意创新、迎接挑战。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鼓励学以致用，推动产学研融合互促，紧密围绕创新驱动发展战略，服务国家经济、政治、文化、社会、生态文明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竞赛的基本方式：高等学校在校学生申报自然科学 类学术论文、哲学社会科学类社会调查报告和学术论文、科技发明制作三类作品参赛；聘请专家评定出具有较高学术理论水平、 实际应用价值和创新意义的优秀作品，给予奖励；组织学术交流和科技成果的展览、转让活动。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组织机构及其职责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jc w:val="both"/>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竞赛设立领导小组，由主办单位和承办单位的有关负责人组成，负责指导竞赛活动，并对全国组织委员会和全国评审委员会提交的问题进行协调和裁决。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立全国组织委员会，由主办单位、承办单位和联合发起单位（含高校、新闻单位、相关企业）的有关负责人组成。主办单位和承办单位分别委派有关负责同志作为组委会成员，各联合发起单位推荐1名主管领导作为组委会成员。全国组织委员会设主任、副主任若干名。获得3次“挑战杯”的高校将获得持续担任组委会副主任成员的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全国组织委员会的职责如下：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1.审议、修改竞赛的章程。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2.筹集竞赛组织、评审、奖励所需的经费。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3.投票表决竞赛承办高校。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4.议决其它应由组委会议决的事项。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全国组织委员会下设秘书处，负责按照全国组委会通过的章程组织竞赛活动并向全国组委会报告工作。秘书处设秘书长、副秘书长若干名，由主办单位、承办单位有关领导担任。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竞赛设立全国评审委员会，由主办单位聘请的相关学科具有高级职称的非高校专家或高科技企业的技术骨干组成。全国评审委员会设主任1名，常务副主任2名，副主任若干名，秘书长1名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副秘书长若干名</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全国评审委员会经主办单位批准成立，有权在本章程和评审规则所规定的原则下，独立开展评审工作。</w:t>
      </w:r>
      <w:r>
        <w:rPr>
          <w:rFonts w:hint="eastAsia" w:ascii="仿宋_GB2312" w:hAnsi="仿宋_GB2312" w:eastAsia="仿宋_GB2312" w:cs="仿宋_GB2312"/>
          <w:b w:val="0"/>
          <w:bCs w:val="0"/>
          <w:sz w:val="32"/>
          <w:szCs w:val="32"/>
          <w:lang w:val="en-US" w:eastAsia="zh-CN"/>
        </w:rPr>
        <w:t>评委须严格遵守《评审纪律》，评审前签订《评审纪律承诺书》。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全国评审委员会职责如下：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1.在本章程和评审规则基础上制定评审实施细则。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2.终审决赛环节实行公开答辩制，答辩前评审委员可以到参赛作品集中展示区审看参赛作品及其演示。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3.确定参赛作品获奖等次。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竞赛设立作品资格评判委员会，在全国组委会第二次全体会议召开时成立，由全国评审委员会常务副主任1名、评审委员</w:t>
      </w:r>
      <w:r>
        <w:rPr>
          <w:rFonts w:hint="eastAsia" w:ascii="仿宋_GB2312" w:hAnsi="仿宋_GB2312" w:eastAsia="仿宋_GB2312" w:cs="仿宋_GB2312"/>
          <w:b w:val="0"/>
          <w:bCs w:val="0"/>
          <w:sz w:val="32"/>
          <w:szCs w:val="32"/>
          <w:lang w:val="en-US" w:eastAsia="zh-CN"/>
        </w:rPr>
        <w:t>不少于</w:t>
      </w:r>
      <w:r>
        <w:rPr>
          <w:rFonts w:hint="eastAsia" w:ascii="仿宋_GB2312" w:hAnsi="仿宋_GB2312" w:eastAsia="仿宋_GB2312" w:cs="仿宋_GB2312"/>
          <w:b w:val="0"/>
          <w:bCs w:val="0"/>
          <w:sz w:val="32"/>
          <w:szCs w:val="32"/>
        </w:rPr>
        <w:t>3名（根据被评判作品学科分布选定）、主办单位各1名代表、全国组织委员会高校委员中抽签产生的10名代表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每省份最多2名代表）</w:t>
      </w:r>
      <w:r>
        <w:rPr>
          <w:rFonts w:hint="eastAsia" w:ascii="仿宋_GB2312" w:hAnsi="仿宋_GB2312" w:eastAsia="仿宋_GB2312" w:cs="仿宋_GB2312"/>
          <w:b w:val="0"/>
          <w:bCs w:val="0"/>
          <w:sz w:val="32"/>
          <w:szCs w:val="32"/>
        </w:rPr>
        <w:t>组成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资格评判委员会主任由全国评审委员会常务副主任担任。资格评判委员会会议由资格评判委员会主任负责召集。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作品资格评判委员会职责如下：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1.授权全国组委会秘书处在预审开始至终审决赛结束前接受参赛学校和学生、评委、社会各界人士对参赛作品资格的质疑投诉。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2.在终审决赛结束前，如出现被质疑投诉作品，资格评判委员会应召开会议，对被质疑投诉的参赛作品的作者及所属学校进行质询。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3.投票表决被质疑投诉作品是否具备参赛资格。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委会秘书处对质疑投诉者的姓名、单位予以保密。质疑投诉者需提供相关证据或明确的线索。资格评判委员会开会时，到会委员超过2/3方可进行表决；表决时实行回避制度;若参加表决委员中有2/3以上认为该作品不具备参赛资格，则评委会对该作品不予评审，其参赛得分随之取消。全国组委会秘书处不受理匿名质疑投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终审决赛结束后，对作品的质疑投诉继续按本章程第三十</w:t>
      </w:r>
      <w:r>
        <w:rPr>
          <w:rFonts w:hint="eastAsia" w:ascii="仿宋_GB2312" w:hAnsi="仿宋_GB2312" w:eastAsia="仿宋_GB2312" w:cs="仿宋_GB2312"/>
          <w:b w:val="0"/>
          <w:bCs w:val="0"/>
          <w:sz w:val="32"/>
          <w:szCs w:val="32"/>
          <w:lang w:val="en-US" w:eastAsia="zh-CN"/>
        </w:rPr>
        <w:t>九</w:t>
      </w:r>
      <w:r>
        <w:rPr>
          <w:rFonts w:hint="eastAsia" w:ascii="仿宋_GB2312" w:hAnsi="仿宋_GB2312" w:eastAsia="仿宋_GB2312" w:cs="仿宋_GB2312"/>
          <w:b w:val="0"/>
          <w:bCs w:val="0"/>
          <w:sz w:val="32"/>
          <w:szCs w:val="32"/>
        </w:rPr>
        <w:t>条执行。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竞赛设立评审监督委员会，在全国赛前成立，下设秘书处。评审监督委员会依照《评审监督委员会章程》组织建立、行使职责。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主办单位根据团体总分优先原则，确定上届竞赛总分前70名的学校为联合发起高校，并可根据终审决赛规模、地区平衡、学校类别及代表性、承办地区等因素作部分调整。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各省（区、市）</w:t>
      </w:r>
      <w:r>
        <w:rPr>
          <w:rFonts w:hint="eastAsia" w:ascii="仿宋_GB2312" w:hAnsi="仿宋_GB2312" w:eastAsia="仿宋_GB2312" w:cs="仿宋_GB2312"/>
          <w:b w:val="0"/>
          <w:bCs w:val="0"/>
          <w:sz w:val="32"/>
          <w:szCs w:val="32"/>
          <w:lang w:val="en-US" w:eastAsia="zh-CN"/>
        </w:rPr>
        <w:t>和新疆生产建设兵团</w:t>
      </w:r>
      <w:r>
        <w:rPr>
          <w:rFonts w:hint="eastAsia" w:ascii="仿宋_GB2312" w:hAnsi="仿宋_GB2312" w:eastAsia="仿宋_GB2312" w:cs="仿宋_GB2312"/>
          <w:b w:val="0"/>
          <w:bCs w:val="0"/>
          <w:sz w:val="32"/>
          <w:szCs w:val="32"/>
        </w:rPr>
        <w:t>、各高校应举办与全国竞赛接轨的届次化的学生课外学术科技作品竞赛。各省（区、市）</w:t>
      </w:r>
      <w:r>
        <w:rPr>
          <w:rFonts w:hint="eastAsia" w:ascii="仿宋_GB2312" w:hAnsi="仿宋_GB2312" w:eastAsia="仿宋_GB2312" w:cs="仿宋_GB2312"/>
          <w:b w:val="0"/>
          <w:bCs w:val="0"/>
          <w:sz w:val="32"/>
          <w:szCs w:val="32"/>
          <w:lang w:val="en-US" w:eastAsia="zh-CN"/>
        </w:rPr>
        <w:t>和新疆生产建设兵团团委</w:t>
      </w:r>
      <w:r>
        <w:rPr>
          <w:rFonts w:hint="eastAsia" w:ascii="仿宋_GB2312" w:hAnsi="仿宋_GB2312" w:eastAsia="仿宋_GB2312" w:cs="仿宋_GB2312"/>
          <w:b w:val="0"/>
          <w:bCs w:val="0"/>
          <w:sz w:val="32"/>
          <w:szCs w:val="32"/>
        </w:rPr>
        <w:t>、科协、教育部门、学联联合设立省级组织协调委员会和评审委员会，负责本省</w:t>
      </w:r>
      <w:r>
        <w:rPr>
          <w:rFonts w:hint="eastAsia" w:ascii="仿宋_GB2312" w:hAnsi="仿宋_GB2312" w:eastAsia="仿宋_GB2312" w:cs="仿宋_GB2312"/>
          <w:b w:val="0"/>
          <w:bCs w:val="0"/>
          <w:sz w:val="32"/>
          <w:szCs w:val="32"/>
          <w:lang w:val="en-US" w:eastAsia="zh-CN"/>
        </w:rPr>
        <w:t>份</w:t>
      </w:r>
      <w:r>
        <w:rPr>
          <w:rFonts w:hint="eastAsia" w:ascii="仿宋_GB2312" w:hAnsi="仿宋_GB2312" w:eastAsia="仿宋_GB2312" w:cs="仿宋_GB2312"/>
          <w:b w:val="0"/>
          <w:bCs w:val="0"/>
          <w:sz w:val="32"/>
          <w:szCs w:val="32"/>
        </w:rPr>
        <w:t>竞赛的组织协调、参赛作品资格审查和作品初评等有关工作。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参赛资格与作品申报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凡在举办竞赛终审决赛的当年6月1日以前正式注册的全日制非成人教育的各类高等院校在校专科生、本科生、硕士研究生（不含在职研究生）都可申报作品参赛。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申报参赛的作品必须是距竞赛终审决赛当年6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凡有合作者的个人作品或集体作品，均按学历最高的作者划分至本专科生或硕士研究生类进行评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增加作品自查环节，申报学校签订承诺书，承诺作品符合“挑战杯”竞赛申报作品的要求，接受竞赛组委会</w:t>
      </w:r>
      <w:r>
        <w:rPr>
          <w:rFonts w:hint="eastAsia" w:ascii="仿宋_GB2312" w:hAnsi="仿宋_GB2312" w:eastAsia="仿宋_GB2312" w:cs="仿宋_GB2312"/>
          <w:b w:val="0"/>
          <w:bCs w:val="0"/>
          <w:sz w:val="32"/>
          <w:szCs w:val="32"/>
          <w:lang w:val="en-US" w:eastAsia="zh-CN"/>
        </w:rPr>
        <w:t>检查</w:t>
      </w:r>
      <w:r>
        <w:rPr>
          <w:rFonts w:hint="eastAsia" w:ascii="仿宋_GB2312" w:hAnsi="仿宋_GB2312" w:eastAsia="仿宋_GB2312" w:cs="仿宋_GB2312"/>
          <w:b w:val="0"/>
          <w:bCs w:val="0"/>
          <w:sz w:val="32"/>
          <w:szCs w:val="32"/>
        </w:rPr>
        <w:t>。对不符合申报要求或严重违规作品的惩戒措施详见第六章。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校硕博连读生（直博生）若在决赛当年6月1日以前未通过博士资格考试的，可以按硕士生学历申报作品。没有实行资格考试制度的学校，前两年可以按硕士学历申报作品。本硕博连读生，按照四年、二年分别对应本、硕申报，后续则不可申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毕业设计和课程设计（论文）、学年论文和学位论文、国际竞赛中获奖的作品、获国家级奖励成果（含本竞赛主办单位参与举办的其它全国性竞赛的获奖作品）等均不在申报范围之列。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申报参赛的作品分为自然科学类学术论文、哲学社会科学类社会调查报告和学术论文、科技发明制作三类。自然科学类学术论文作者限本专科生。哲学社会科学类</w:t>
      </w:r>
      <w:r>
        <w:rPr>
          <w:rFonts w:hint="eastAsia" w:ascii="仿宋_GB2312" w:hAnsi="仿宋_GB2312" w:eastAsia="仿宋_GB2312" w:cs="仿宋_GB2312"/>
          <w:b w:val="0"/>
          <w:bCs w:val="0"/>
          <w:sz w:val="32"/>
          <w:szCs w:val="32"/>
          <w:lang w:val="en-US" w:eastAsia="zh-CN"/>
        </w:rPr>
        <w:t>支持围绕发展成就、文明文化、美丽中国、民生福祉、中国之治和战役行动等6个组别形成</w:t>
      </w:r>
      <w:r>
        <w:rPr>
          <w:rFonts w:hint="eastAsia" w:ascii="仿宋_GB2312" w:hAnsi="仿宋_GB2312" w:eastAsia="仿宋_GB2312" w:cs="仿宋_GB2312"/>
          <w:b w:val="0"/>
          <w:bCs w:val="0"/>
          <w:sz w:val="32"/>
          <w:szCs w:val="32"/>
        </w:rPr>
        <w:t>社会调查报告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也可以按照</w:t>
      </w:r>
      <w:r>
        <w:rPr>
          <w:rFonts w:hint="eastAsia" w:ascii="仿宋_GB2312" w:hAnsi="仿宋_GB2312" w:eastAsia="仿宋_GB2312" w:cs="仿宋_GB2312"/>
          <w:b w:val="0"/>
          <w:bCs w:val="0"/>
          <w:sz w:val="32"/>
          <w:szCs w:val="32"/>
        </w:rPr>
        <w:t>哲学、经济、社会、法律、教育、管理6个学科</w:t>
      </w:r>
      <w:r>
        <w:rPr>
          <w:rFonts w:hint="eastAsia" w:ascii="仿宋_GB2312" w:hAnsi="仿宋_GB2312" w:eastAsia="仿宋_GB2312" w:cs="仿宋_GB2312"/>
          <w:b w:val="0"/>
          <w:bCs w:val="0"/>
          <w:sz w:val="32"/>
          <w:szCs w:val="32"/>
          <w:lang w:val="en-US" w:eastAsia="zh-CN"/>
        </w:rPr>
        <w:t>报送社会调查报告和学术论文</w:t>
      </w:r>
      <w:r>
        <w:rPr>
          <w:rFonts w:hint="eastAsia" w:ascii="仿宋_GB2312" w:hAnsi="仿宋_GB2312" w:eastAsia="仿宋_GB2312" w:cs="仿宋_GB2312"/>
          <w:b w:val="0"/>
          <w:bCs w:val="0"/>
          <w:sz w:val="32"/>
          <w:szCs w:val="32"/>
        </w:rPr>
        <w:t>。科技发明制作类分为A、B两类：A类指科技含量较高、制作投入较大的作品；B类指投入较少，且为生产技术或社会生活带来便利的小发明、小制作等。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参赛作品涉及下列内容时，必须由申报者提供有关部门的证明材料，否则不予评审。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动植物新品种的发现或培育，须有省级以上农科部门或科研院所开具证明</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对国家保护动植物的研究，须有省级以上林业部门开具证明，证明该项研究的过程中未产生对所研究的动植物繁衍、生长不利的影响。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新药物的研究须有卫生行政部门授权机构的鉴定证明。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医疗卫生研究须通过专家鉴定，并最好附有在公开发行的专业性杂志上发表过的文章。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涉及燃气用具等与人民生命财产安全有关用具的研究，须有国家相应行政部门授权机构的认定证明。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参赛作品必须于申报前将作品项目名称、参赛学生和指导教师等关键信息在</w:t>
      </w:r>
      <w:r>
        <w:rPr>
          <w:rFonts w:hint="eastAsia" w:ascii="仿宋_GB2312" w:hAnsi="仿宋_GB2312" w:eastAsia="仿宋_GB2312" w:cs="仿宋_GB2312"/>
          <w:b w:val="0"/>
          <w:bCs w:val="0"/>
          <w:sz w:val="32"/>
          <w:szCs w:val="32"/>
          <w:lang w:val="en-US" w:eastAsia="zh-CN"/>
        </w:rPr>
        <w:t>学校</w:t>
      </w:r>
      <w:r>
        <w:rPr>
          <w:rFonts w:hint="eastAsia" w:ascii="仿宋_GB2312" w:hAnsi="仿宋_GB2312" w:eastAsia="仿宋_GB2312" w:cs="仿宋_GB2312"/>
          <w:b w:val="0"/>
          <w:bCs w:val="0"/>
          <w:sz w:val="32"/>
          <w:szCs w:val="32"/>
        </w:rPr>
        <w:t>官方网站主页上进行不少于</w:t>
      </w:r>
      <w:r>
        <w:rPr>
          <w:rFonts w:hint="eastAsia" w:ascii="仿宋_GB2312" w:hAnsi="仿宋_GB2312" w:eastAsia="仿宋_GB2312" w:cs="仿宋_GB2312"/>
          <w:b w:val="0"/>
          <w:bCs w:val="0"/>
          <w:sz w:val="32"/>
          <w:szCs w:val="32"/>
          <w:lang w:val="en-US" w:eastAsia="zh-CN"/>
        </w:rPr>
        <w:t>5天的</w:t>
      </w:r>
      <w:r>
        <w:rPr>
          <w:rFonts w:hint="eastAsia" w:ascii="仿宋_GB2312" w:hAnsi="仿宋_GB2312" w:eastAsia="仿宋_GB2312" w:cs="仿宋_GB2312"/>
          <w:b w:val="0"/>
          <w:bCs w:val="0"/>
          <w:sz w:val="32"/>
          <w:szCs w:val="32"/>
        </w:rPr>
        <w:t>公示，并将公示截图随作品一同报送。</w:t>
      </w:r>
      <w:r>
        <w:rPr>
          <w:rFonts w:hint="eastAsia" w:ascii="仿宋_GB2312" w:hAnsi="仿宋_GB2312" w:eastAsia="仿宋_GB2312" w:cs="仿宋_GB2312"/>
          <w:b w:val="0"/>
          <w:bCs w:val="0"/>
          <w:sz w:val="32"/>
          <w:szCs w:val="32"/>
          <w:lang w:val="en-US" w:eastAsia="zh-CN"/>
        </w:rPr>
        <w:t>多个学校学生合作申报的项目，须注明学生、学校信息并在学生所在学校均进行公示。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参赛作品必须由两名具有高级专业技术职称的指</w:t>
      </w:r>
      <w:r>
        <w:rPr>
          <w:rFonts w:hint="eastAsia" w:ascii="仿宋_GB2312" w:hAnsi="仿宋_GB2312" w:eastAsia="仿宋_GB2312" w:cs="仿宋_GB2312"/>
          <w:b w:val="0"/>
          <w:bCs w:val="0"/>
          <w:sz w:val="32"/>
          <w:szCs w:val="32"/>
          <w:lang w:eastAsia="zh-CN"/>
        </w:rPr>
        <w:t>导</w:t>
      </w:r>
      <w:r>
        <w:rPr>
          <w:rFonts w:hint="eastAsia" w:ascii="仿宋_GB2312" w:hAnsi="仿宋_GB2312" w:eastAsia="仿宋_GB2312" w:cs="仿宋_GB2312"/>
          <w:b w:val="0"/>
          <w:bCs w:val="0"/>
          <w:sz w:val="32"/>
          <w:szCs w:val="32"/>
        </w:rPr>
        <w:t>教师（或教研组）推荐，经本校学籍管理、教务、科研管理部门审核确认。</w:t>
      </w:r>
      <w:r>
        <w:rPr>
          <w:rFonts w:hint="eastAsia" w:ascii="仿宋_GB2312" w:hAnsi="仿宋_GB2312" w:eastAsia="仿宋_GB2312" w:cs="仿宋_GB2312"/>
          <w:b w:val="0"/>
          <w:bCs w:val="0"/>
          <w:sz w:val="32"/>
          <w:szCs w:val="32"/>
          <w:lang w:val="en-US" w:eastAsia="zh-CN"/>
        </w:rPr>
        <w:t>每件作品可由不超过3名教师指导完成。作品完成全国竞赛申报后，作品题目、作者、指导教师等关键信息不得变动。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每个学校选送参加竞赛的作品总数不得超过6 件，每人限报1件，作品中研究生的作品不得超过作品总数的 1/2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如研究生作品数超过比例要求，违反规定的，取消该校所有研究生作品参赛资格且不得补报，但如学校只招收研究生的，或只有1件作品参加全国竞赛的，不受作品比例限制。</w:t>
      </w:r>
      <w:r>
        <w:rPr>
          <w:rFonts w:hint="eastAsia" w:ascii="仿宋_GB2312" w:hAnsi="仿宋_GB2312" w:eastAsia="仿宋_GB2312" w:cs="仿宋_GB2312"/>
          <w:b w:val="0"/>
          <w:bCs w:val="0"/>
          <w:sz w:val="32"/>
          <w:szCs w:val="32"/>
        </w:rPr>
        <w:t>参赛作品须经过本省</w:t>
      </w:r>
      <w:r>
        <w:rPr>
          <w:rFonts w:hint="eastAsia" w:ascii="仿宋_GB2312" w:hAnsi="仿宋_GB2312" w:eastAsia="仿宋_GB2312" w:cs="仿宋_GB2312"/>
          <w:b w:val="0"/>
          <w:bCs w:val="0"/>
          <w:sz w:val="32"/>
          <w:szCs w:val="32"/>
          <w:lang w:val="en-US" w:eastAsia="zh-CN"/>
        </w:rPr>
        <w:t>份</w:t>
      </w:r>
      <w:r>
        <w:rPr>
          <w:rFonts w:hint="eastAsia" w:ascii="仿宋_GB2312" w:hAnsi="仿宋_GB2312" w:eastAsia="仿宋_GB2312" w:cs="仿宋_GB2312"/>
          <w:b w:val="0"/>
          <w:bCs w:val="0"/>
          <w:sz w:val="32"/>
          <w:szCs w:val="32"/>
        </w:rPr>
        <w:t>组织协调委员会进行资格及形式审查和本省</w:t>
      </w:r>
      <w:r>
        <w:rPr>
          <w:rFonts w:hint="eastAsia" w:ascii="仿宋_GB2312" w:hAnsi="仿宋_GB2312" w:eastAsia="仿宋_GB2312" w:cs="仿宋_GB2312"/>
          <w:b w:val="0"/>
          <w:bCs w:val="0"/>
          <w:sz w:val="32"/>
          <w:szCs w:val="32"/>
          <w:lang w:val="en-US" w:eastAsia="zh-CN"/>
        </w:rPr>
        <w:t>份</w:t>
      </w:r>
      <w:r>
        <w:rPr>
          <w:rFonts w:hint="eastAsia" w:ascii="仿宋_GB2312" w:hAnsi="仿宋_GB2312" w:eastAsia="仿宋_GB2312" w:cs="仿宋_GB2312"/>
          <w:b w:val="0"/>
          <w:bCs w:val="0"/>
          <w:sz w:val="32"/>
          <w:szCs w:val="32"/>
        </w:rPr>
        <w:t>评审委员会初步评定，方可上报全国组委会办公室。各省（区、市）选送全国竞赛的作品数额由主办单位统一确定。每所发起学校可直接报送3件作品（含在6件作品之中）参加全国竞赛。</w:t>
      </w:r>
      <w:r>
        <w:rPr>
          <w:rFonts w:hint="eastAsia" w:ascii="仿宋_GB2312" w:hAnsi="仿宋_GB2312" w:eastAsia="仿宋_GB2312" w:cs="仿宋_GB2312"/>
          <w:b w:val="0"/>
          <w:bCs w:val="0"/>
          <w:sz w:val="32"/>
          <w:szCs w:val="32"/>
          <w:lang w:val="en-US" w:eastAsia="zh-CN"/>
        </w:rPr>
        <w:t>每所优秀组织奖或进步显著奖获得学校可直接报送1件作品（含在6件作品之中）参加全国竞赛。直通全国竞赛渠道不做累加。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展览、交流、转让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全国评审委员会推荐通过预审的一定比例的自然科学类学术论文、哲学社会科学类社会调查报告和学术论文及全部科技发明制作类作品参加展览。科技发明制作类作品须有实物或模型参展。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全国组委会将在竞赛的终审决赛阶段组织多种形式的学术交流和工作交流活动，并适时举办</w:t>
      </w:r>
      <w:r>
        <w:rPr>
          <w:rFonts w:hint="eastAsia" w:ascii="仿宋_GB2312" w:hAnsi="仿宋_GB2312" w:eastAsia="仿宋_GB2312" w:cs="仿宋_GB2312"/>
          <w:b w:val="0"/>
          <w:bCs w:val="0"/>
          <w:sz w:val="32"/>
          <w:szCs w:val="32"/>
          <w:lang w:val="en-US" w:eastAsia="zh-CN"/>
        </w:rPr>
        <w:t>专项赛、</w:t>
      </w:r>
      <w:r>
        <w:rPr>
          <w:rFonts w:hint="eastAsia" w:ascii="仿宋_GB2312" w:hAnsi="仿宋_GB2312" w:eastAsia="仿宋_GB2312" w:cs="仿宋_GB2312"/>
          <w:b w:val="0"/>
          <w:bCs w:val="0"/>
          <w:sz w:val="32"/>
          <w:szCs w:val="32"/>
        </w:rPr>
        <w:t>展示赛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邀请赛等丰富“挑战杯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竞赛的活动。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全国组织委员会在终审决赛期间，举办成果转让活动；成果是否转让不作为作品评审获奖的依据。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全国组织委员会拥有组织转让获奖作品的优先权。成果产权及利益分配由学校和作者协商确定。全国组织委员会可结集出版竞赛获奖作品及评委评语。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奖</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的自然科学类学术论文、哲学社会科学类社会调查报告和学术论文、科技发明制作三类作品各设特等奖、一等奖、二等奖、三等奖。各等次奖分别约占各类入围作品总数的3%、8%、24%和65%。本专科生、硕士研究生两个学历层次作者的作品获奖数与其入围作品数成正比例。科技发明制作类中A类和B类作品分别按上述比例设奖。全国评审委员会对各省级组织协调委员会和发起高校报送的参赛作品进行预审，</w:t>
      </w:r>
      <w:r>
        <w:rPr>
          <w:rFonts w:hint="eastAsia" w:ascii="仿宋_GB2312" w:hAnsi="仿宋_GB2312" w:eastAsia="仿宋_GB2312" w:cs="仿宋_GB2312"/>
          <w:b w:val="0"/>
          <w:bCs w:val="0"/>
          <w:sz w:val="32"/>
          <w:szCs w:val="32"/>
          <w:lang w:eastAsia="zh-CN"/>
        </w:rPr>
        <w:t>评委</w:t>
      </w:r>
      <w:r>
        <w:rPr>
          <w:rFonts w:hint="eastAsia" w:ascii="仿宋_GB2312" w:hAnsi="仿宋_GB2312" w:eastAsia="仿宋_GB2312" w:cs="仿宋_GB2312"/>
          <w:b w:val="0"/>
          <w:bCs w:val="0"/>
          <w:sz w:val="32"/>
          <w:szCs w:val="32"/>
        </w:rPr>
        <w:t>80%左右的参赛作品入围获奖作品，评出入围作品中的65%获得三等奖，其余35%进入终审决赛。在终审决赛中评出特等奖、一等奖、二等奖。</w:t>
      </w:r>
      <w:r>
        <w:rPr>
          <w:rFonts w:hint="eastAsia" w:ascii="仿宋_GB2312" w:hAnsi="仿宋_GB2312" w:eastAsia="仿宋_GB2312" w:cs="仿宋_GB2312"/>
          <w:b w:val="0"/>
          <w:bCs w:val="0"/>
          <w:sz w:val="32"/>
          <w:szCs w:val="32"/>
          <w:lang w:val="en-US" w:eastAsia="zh-CN"/>
        </w:rPr>
        <w:t>同时为激发学生参与基础学科、小众学科的热情，终审决赛各分类小组原则上至少有1件特等奖和1件一等奖。预审和终审前，组委会根据作品数量等确定各分类小组授奖数量。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入围获奖的作品，确认资格有效的，由全国组织委员会向作品颁发证书（证书须体现作者和指导老师姓名）。参加各省（区、市）</w:t>
      </w:r>
      <w:r>
        <w:rPr>
          <w:rFonts w:hint="eastAsia" w:ascii="仿宋_GB2312" w:hAnsi="仿宋_GB2312" w:eastAsia="仿宋_GB2312" w:cs="仿宋_GB2312"/>
          <w:b w:val="0"/>
          <w:bCs w:val="0"/>
          <w:sz w:val="32"/>
          <w:szCs w:val="32"/>
          <w:lang w:val="en-US" w:eastAsia="zh-CN"/>
        </w:rPr>
        <w:t>和新疆生产建设兵团</w:t>
      </w:r>
      <w:r>
        <w:rPr>
          <w:rFonts w:hint="eastAsia" w:ascii="仿宋_GB2312" w:hAnsi="仿宋_GB2312" w:eastAsia="仿宋_GB2312" w:cs="仿宋_GB2312"/>
          <w:b w:val="0"/>
          <w:bCs w:val="0"/>
          <w:sz w:val="32"/>
          <w:szCs w:val="32"/>
        </w:rPr>
        <w:t>预赛的作品，确认资格有效而又未进入全国竞赛的，由各省（区、市）</w:t>
      </w:r>
      <w:r>
        <w:rPr>
          <w:rFonts w:hint="eastAsia" w:ascii="仿宋_GB2312" w:hAnsi="仿宋_GB2312" w:eastAsia="仿宋_GB2312" w:cs="仿宋_GB2312"/>
          <w:b w:val="0"/>
          <w:bCs w:val="0"/>
          <w:sz w:val="32"/>
          <w:szCs w:val="32"/>
          <w:lang w:val="en-US" w:eastAsia="zh-CN"/>
        </w:rPr>
        <w:t>和新疆生产建设兵团</w:t>
      </w:r>
      <w:r>
        <w:rPr>
          <w:rFonts w:hint="eastAsia" w:ascii="仿宋_GB2312" w:hAnsi="仿宋_GB2312" w:eastAsia="仿宋_GB2312" w:cs="仿宋_GB2312"/>
          <w:b w:val="0"/>
          <w:bCs w:val="0"/>
          <w:sz w:val="32"/>
          <w:szCs w:val="32"/>
        </w:rPr>
        <w:t>组织协调委员会向作品颁发证书（证书须体现作者和指导老师姓名）。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三十</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以学校为单位计算参赛得分，团体总分按名次排列，按位次公布。团体总分由“现场作品得分”和“校级赛事组织得分”两部分组成。最高荣誉“挑战杯”为流动杯，授予竞赛团体成绩最佳的学校，如遇团体总分并列第一，以获特等奖的数量排序，以此类推至三等奖。设“优胜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若干，分别授予除“挑战杯”获得高校之外团体总分前三十一名的其余学校，及位列本省份第一名的高校中、除去团体总分前三十一名高校后排名前十名的其余学校。累计3次获得“挑战杯”的学校，可永久保存复制的“挑战杯”一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各等次奖计分方法如下：特等奖作品每件计100分，一等奖作品每件计70分，二等奖作品每件计40分，三等奖作品每件计20分，上报至全国组委会但未通过预审的作品每件计10分。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校级赛事组织得分采取加分制，主要考察出台激励学生创新政策，联合教务、科研等部门举办校级赛事，校级赛事学校重视、指导教师积极参与、广泛覆盖学生、氛围营造及宣传，高校上传有评委完整评语作品到竞赛网站等情况。全国组织委员会秘书处负责制定《校级赛事组织得分实施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竞赛设10个左右省级优秀组织奖和获得入围作品高校数</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左右的高校优秀组织奖，奖励在竞赛组织工作中表现突出的省份和高校。省级优秀组织奖由主办单位评定，报全国组织委员会确认，主要考察联合教育、科技等部门举办省级赛事，省级赛事高校参与率，省域内校级赛事举办情况，省域内赛事对学生的覆盖等情况。高校优秀组织奖由各省（区、市）</w:t>
      </w:r>
      <w:r>
        <w:rPr>
          <w:rFonts w:hint="eastAsia" w:ascii="仿宋_GB2312" w:hAnsi="仿宋_GB2312" w:eastAsia="仿宋_GB2312" w:cs="仿宋_GB2312"/>
          <w:b w:val="0"/>
          <w:bCs w:val="0"/>
          <w:sz w:val="32"/>
          <w:szCs w:val="32"/>
          <w:lang w:val="en-US" w:eastAsia="zh-CN"/>
        </w:rPr>
        <w:t>和新疆生产建设兵团</w:t>
      </w:r>
      <w:r>
        <w:rPr>
          <w:rFonts w:hint="eastAsia" w:ascii="仿宋_GB2312" w:hAnsi="仿宋_GB2312" w:eastAsia="仿宋_GB2312" w:cs="仿宋_GB2312"/>
          <w:b w:val="0"/>
          <w:bCs w:val="0"/>
          <w:sz w:val="32"/>
          <w:szCs w:val="32"/>
        </w:rPr>
        <w:t>组织协调委员会提名，主办单位评定后报全国组织委员会确认，</w:t>
      </w:r>
      <w:r>
        <w:rPr>
          <w:rFonts w:hint="eastAsia" w:ascii="仿宋_GB2312" w:hAnsi="仿宋_GB2312" w:eastAsia="仿宋_GB2312" w:cs="仿宋_GB2312"/>
          <w:b w:val="0"/>
          <w:bCs w:val="0"/>
          <w:sz w:val="32"/>
          <w:szCs w:val="32"/>
          <w:lang w:val="en-US" w:eastAsia="zh-CN"/>
        </w:rPr>
        <w:t>评选综合考虑校级赛事、专项赛事、科技创新活动等的组织参与情况</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竞赛设5个左右省级进步显著奖和10个左右高校进步显著奖，激励原本竞赛较为薄弱、取得显著进步的省份和高校。进步显著奖由主办单位根据相邻届次竞赛成绩，综合考虑团体总分、参赛高校数量、参赛作品数量等指标增幅情况进行评定，报全国组织委员会确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为鼓励各高校对参赛项目进行持续支持与跟踪培育，推动竞赛由短期开展向</w:t>
      </w:r>
      <w:r>
        <w:rPr>
          <w:rFonts w:hint="eastAsia" w:ascii="仿宋_GB2312" w:hAnsi="仿宋_GB2312" w:eastAsia="仿宋_GB2312" w:cs="仿宋_GB2312"/>
          <w:b w:val="0"/>
          <w:bCs w:val="0"/>
          <w:sz w:val="32"/>
          <w:szCs w:val="32"/>
          <w:lang w:val="en-US" w:eastAsia="zh-CN"/>
        </w:rPr>
        <w:t>日</w:t>
      </w:r>
      <w:r>
        <w:rPr>
          <w:rFonts w:hint="eastAsia" w:ascii="仿宋_GB2312" w:hAnsi="仿宋_GB2312" w:eastAsia="仿宋_GB2312" w:cs="仿宋_GB2312"/>
          <w:b w:val="0"/>
          <w:bCs w:val="0"/>
          <w:sz w:val="32"/>
          <w:szCs w:val="32"/>
        </w:rPr>
        <w:t>常活动的转变，提升竞赛育人功能，竞赛设立累进创新专项奖，奖给在过去2届全国竞赛中入围获奖且在后续有较大创新提升的作品。此外，在符合竞赛宗旨、具有良好导向作用前提下，可联合社会有关方面设立、评选专项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惩</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参赛作品存在舞弊、抄袭、作假，将国家课题、教师科研成果包装成学生项目的，均视为严重违规行为。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参赛作品在公示环节，知情公众如发现作品不符合申报要求或存在严重违规行为，各高校要严肃对待、一经查实取消作品参赛资格。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参赛作品如在参赛环节被</w:t>
      </w:r>
      <w:r>
        <w:rPr>
          <w:rFonts w:hint="eastAsia" w:ascii="仿宋_GB2312" w:hAnsi="仿宋_GB2312" w:eastAsia="仿宋_GB2312" w:cs="仿宋_GB2312"/>
          <w:b w:val="0"/>
          <w:bCs w:val="0"/>
          <w:sz w:val="32"/>
          <w:szCs w:val="32"/>
          <w:lang w:val="en-US" w:eastAsia="zh-CN"/>
        </w:rPr>
        <w:t>检查</w:t>
      </w:r>
      <w:r>
        <w:rPr>
          <w:rFonts w:hint="eastAsia" w:ascii="仿宋_GB2312" w:hAnsi="仿宋_GB2312" w:eastAsia="仿宋_GB2312" w:cs="仿宋_GB2312"/>
          <w:b w:val="0"/>
          <w:bCs w:val="0"/>
          <w:sz w:val="32"/>
          <w:szCs w:val="32"/>
        </w:rPr>
        <w:t>或经举报核实发现作品不符合申报要求，取消作品参赛资格，该学校不得补报作品；被</w:t>
      </w:r>
      <w:r>
        <w:rPr>
          <w:rFonts w:hint="eastAsia" w:ascii="仿宋_GB2312" w:hAnsi="仿宋_GB2312" w:eastAsia="仿宋_GB2312" w:cs="仿宋_GB2312"/>
          <w:b w:val="0"/>
          <w:bCs w:val="0"/>
          <w:sz w:val="32"/>
          <w:szCs w:val="32"/>
          <w:lang w:val="en-US" w:eastAsia="zh-CN"/>
        </w:rPr>
        <w:t>检查</w:t>
      </w:r>
      <w:r>
        <w:rPr>
          <w:rFonts w:hint="eastAsia" w:ascii="仿宋_GB2312" w:hAnsi="仿宋_GB2312" w:eastAsia="仿宋_GB2312" w:cs="仿宋_GB2312"/>
          <w:b w:val="0"/>
          <w:bCs w:val="0"/>
          <w:sz w:val="32"/>
          <w:szCs w:val="32"/>
        </w:rPr>
        <w:t>或经举报核实发现作品存在严重违规行为，取消作品参赛资格，该学校不得补报作品，该学校团体总分为零，并取消该学校参评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挑战杯”、</w:t>
      </w:r>
      <w:r>
        <w:rPr>
          <w:rFonts w:hint="eastAsia" w:ascii="仿宋_GB2312" w:hAnsi="仿宋_GB2312" w:eastAsia="仿宋_GB2312" w:cs="仿宋_GB2312"/>
          <w:b w:val="0"/>
          <w:bCs w:val="0"/>
          <w:sz w:val="32"/>
          <w:szCs w:val="32"/>
        </w:rPr>
        <w:t>“优胜杯”及其他集体奖项的资格，视情节严重取消该学校下届联合发起单位资格或参赛资格。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结束后，对获奖作品保留一个月的质疑投诉期。若收到投诉，竞赛领导小组将委托主办单位有关部门进行调查。经调查，如确认该作品资格不符者，取消该作品获得的奖励，重新计算作者所在学校团体总分及名次；如确认作品存在严重违规行为，该学校团体总分为零，取消该学校所获得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挑战杯”、</w:t>
      </w:r>
      <w:r>
        <w:rPr>
          <w:rFonts w:hint="eastAsia" w:ascii="仿宋_GB2312" w:hAnsi="仿宋_GB2312" w:eastAsia="仿宋_GB2312" w:cs="仿宋_GB2312"/>
          <w:b w:val="0"/>
          <w:bCs w:val="0"/>
          <w:sz w:val="32"/>
          <w:szCs w:val="32"/>
        </w:rPr>
        <w:t>“优胜杯”或其他集体奖项，视情节严重取消该学校下届联合发起单位资格或参赛资格，并通报全国组织委员会成员单位。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四十</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承办竞赛的高校应按当届组委会通过的申办办法，申请承办下一届竞赛活动；获得历届“挑战杯”和“优胜杯”的学校具有承办下届竞赛的优先权；当届组委会通过一定的民主程序产生下届承办单位。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四十一</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竞赛承办单位有权以全国组织委员会名义寻求赞助。最高荣誉“挑战杯”不得用于寻求赞助。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http://www.tiaozhanbei.net/为“挑战杯”竞赛专用网站，由主办单位和承办单位共同建设。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本章程自全国组织委员会审议通过之日起生效，由竞赛主办单位及全国组委会秘书处负责解释。</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pPr>
      <w:bookmarkStart w:id="0" w:name="_GoBack"/>
      <w:bookmarkEnd w:id="0"/>
    </w:p>
    <w:sectPr>
      <w:footerReference r:id="rId3"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86892"/>
    <w:rsid w:val="01786892"/>
    <w:rsid w:val="2205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2019-03-27T02:21:00Z</dcterms:created>
  <dc:creator>安徽省大创会</dc:creator>
  <cp:lastModifiedBy>许飞</cp:lastModifiedBy>
  <dcterms:modified xsi:type="dcterms:W3CDTF">2021-01-14T09:48:05Z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